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D6495"/>
          <w:sz w:val="30"/>
        </w:rPr>
        <w:t>SỔ TAY HƯỚNG DẪN NGHIỆP VỤ</w:t>
      </w:r>
    </w:p>
    <w:p>
      <w:pPr>
        <w:spacing w:after="120"/>
        <w:jc w:val="center"/>
      </w:pPr>
      <w:r>
        <w:rPr>
          <w:b/>
          <w:i w:val="0"/>
          <w:sz w:val="26"/>
        </w:rPr>
        <w:t>Công tác tư vấn, hỗ trợ học sinh trong trường học (tham khảo theo Thông tư 18/2025)</w:t>
      </w:r>
    </w:p>
    <w:p>
      <w:pPr>
        <w:spacing w:after="120"/>
        <w:jc w:val="left"/>
      </w:pPr>
      <w:r>
        <w:rPr>
          <w:b/>
          <w:i w:val="0"/>
          <w:sz w:val="26"/>
        </w:rPr>
        <w:t>1. NGUYÊN TẮC CỐT LÕI</w:t>
      </w:r>
    </w:p>
    <w:p>
      <w:pPr>
        <w:spacing w:after="60"/>
        <w:jc w:val="left"/>
      </w:pPr>
      <w:r>
        <w:rPr>
          <w:b w:val="0"/>
          <w:i w:val="0"/>
          <w:sz w:val="26"/>
        </w:rPr>
        <w:t>• Tự nguyện và tôn trọng học sinh; không phán xét.</w:t>
      </w:r>
    </w:p>
    <w:p>
      <w:pPr>
        <w:spacing w:after="60"/>
        <w:jc w:val="left"/>
      </w:pPr>
      <w:r>
        <w:rPr>
          <w:b w:val="0"/>
          <w:i w:val="0"/>
          <w:sz w:val="26"/>
        </w:rPr>
        <w:t>• Bảo mật thông tin; chỉ chia sẻ khi được đồng thuận hoặc theo quy định pháp luật.</w:t>
      </w:r>
    </w:p>
    <w:p>
      <w:pPr>
        <w:spacing w:after="60"/>
        <w:jc w:val="left"/>
      </w:pPr>
      <w:r>
        <w:rPr>
          <w:b w:val="0"/>
          <w:i w:val="0"/>
          <w:sz w:val="26"/>
        </w:rPr>
        <w:t>• An toàn và vì lợi ích tốt nhất của học sinh; ưu tiên xử lý trường hợp khẩn cấp.</w:t>
      </w:r>
    </w:p>
    <w:p>
      <w:pPr>
        <w:spacing w:after="60"/>
        <w:jc w:val="left"/>
      </w:pPr>
      <w:r>
        <w:rPr>
          <w:b w:val="0"/>
          <w:i w:val="0"/>
          <w:sz w:val="26"/>
        </w:rPr>
        <w:t>• Phối hợp gia đình – nhà trường – chuyên gia.</w:t>
      </w:r>
    </w:p>
    <w:p>
      <w:pPr>
        <w:spacing w:after="120"/>
        <w:jc w:val="left"/>
      </w:pPr>
      <w:r>
        <w:rPr>
          <w:b/>
          <w:i w:val="0"/>
          <w:sz w:val="26"/>
        </w:rPr>
        <w:t>2. QUY TRÌNH 6 BƯỚC</w:t>
      </w:r>
    </w:p>
    <w:p>
      <w:pPr>
        <w:spacing w:after="60"/>
        <w:jc w:val="left"/>
      </w:pPr>
      <w:r>
        <w:rPr>
          <w:b w:val="0"/>
          <w:i w:val="0"/>
          <w:sz w:val="26"/>
        </w:rPr>
        <w:t>Bước 1. Tiếp nhận thông tin (tự đến, GVCN, phụ huynh giới thiệu…).</w:t>
      </w:r>
    </w:p>
    <w:p>
      <w:pPr>
        <w:spacing w:after="60"/>
        <w:jc w:val="left"/>
      </w:pPr>
      <w:r>
        <w:rPr>
          <w:b w:val="0"/>
          <w:i w:val="0"/>
          <w:sz w:val="26"/>
        </w:rPr>
        <w:t>Bước 2. Sàng lọc &amp; đánh giá ban đầu, xác định mức độ ưu tiên.</w:t>
      </w:r>
    </w:p>
    <w:p>
      <w:pPr>
        <w:spacing w:after="60"/>
        <w:jc w:val="left"/>
      </w:pPr>
      <w:r>
        <w:rPr>
          <w:b w:val="0"/>
          <w:i w:val="0"/>
          <w:sz w:val="26"/>
        </w:rPr>
        <w:t>Bước 3. Lập hồ sơ ca và kế hoạch hỗ trợ; lấy đồng thuận của phụ huynh.</w:t>
      </w:r>
    </w:p>
    <w:p>
      <w:pPr>
        <w:spacing w:after="60"/>
        <w:jc w:val="left"/>
      </w:pPr>
      <w:r>
        <w:rPr>
          <w:b w:val="0"/>
          <w:i w:val="0"/>
          <w:sz w:val="26"/>
        </w:rPr>
        <w:t>Bước 4. Triển khai tư vấn/hỗ trợ; ghi biên bản từng buổi.</w:t>
      </w:r>
    </w:p>
    <w:p>
      <w:pPr>
        <w:spacing w:after="60"/>
        <w:jc w:val="left"/>
      </w:pPr>
      <w:r>
        <w:rPr>
          <w:b w:val="0"/>
          <w:i w:val="0"/>
          <w:sz w:val="26"/>
        </w:rPr>
        <w:t>Bước 5. Theo dõi tiến trình; phối hợp các lực lượng giáo dục.</w:t>
      </w:r>
    </w:p>
    <w:p>
      <w:pPr>
        <w:spacing w:after="60"/>
        <w:jc w:val="left"/>
      </w:pPr>
      <w:r>
        <w:rPr>
          <w:b w:val="0"/>
          <w:i w:val="0"/>
          <w:sz w:val="26"/>
        </w:rPr>
        <w:t>Bước 6. Rà soát kết quả – kết thúc ca hoặc chuyển tuyến khi vượt năng lực.</w:t>
      </w:r>
    </w:p>
    <w:p>
      <w:pPr>
        <w:spacing w:after="120"/>
        <w:jc w:val="left"/>
      </w:pPr>
      <w:r>
        <w:rPr>
          <w:b/>
          <w:i w:val="0"/>
          <w:sz w:val="26"/>
        </w:rPr>
        <w:t>3. KHI NÀO CHUYỂN TUYẾN</w:t>
      </w:r>
    </w:p>
    <w:p>
      <w:pPr>
        <w:spacing w:after="120"/>
        <w:jc w:val="left"/>
      </w:pPr>
      <w:r>
        <w:rPr>
          <w:b w:val="0"/>
          <w:i w:val="0"/>
          <w:sz w:val="26"/>
        </w:rPr>
        <w:t>Khi học sinh có dấu hiệu nguy cơ cao (tự gây hại, bị xâm hại, rối loạn tâm lý nặng…) hoặc vượt quá năng lực hỗ trợ của nhà trường — chuyển đến cơ sở/chuyên gia phù hợp kèm hồ sơ và sự đồng thuận của phụ huynh.</w:t>
      </w:r>
    </w:p>
    <w:p>
      <w:pPr>
        <w:spacing w:after="120"/>
        <w:jc w:val="left"/>
      </w:pPr>
      <w:r>
        <w:rPr>
          <w:b/>
          <w:i w:val="0"/>
          <w:sz w:val="26"/>
        </w:rPr>
        <w:t>4. DANH MỤC BIỂU MẪU ĐI KÈM</w:t>
      </w:r>
    </w:p>
    <w:p>
      <w:pPr>
        <w:spacing w:after="60"/>
        <w:jc w:val="left"/>
      </w:pPr>
      <w:r>
        <w:rPr>
          <w:b w:val="0"/>
          <w:i w:val="0"/>
          <w:sz w:val="26"/>
        </w:rPr>
        <w:t>– QĐ thành lập tổ tư vấn; Kế hoạch năm; Quy chế hoạt động; Lịch trực.</w:t>
      </w:r>
    </w:p>
    <w:p>
      <w:pPr>
        <w:spacing w:after="60"/>
        <w:jc w:val="left"/>
      </w:pPr>
      <w:r>
        <w:rPr>
          <w:b w:val="0"/>
          <w:i w:val="0"/>
          <w:sz w:val="26"/>
        </w:rPr>
        <w:t>– Phiếu tiếp nhận; Sổ theo dõi ca; Biên bản buổi; Phiếu đồng thuận; Phiếu chuyển tuyến; Kế hoạch hỗ trợ cá nhân.</w:t>
      </w:r>
    </w:p>
    <w:p>
      <w:pPr>
        <w:spacing w:after="60"/>
        <w:jc w:val="left"/>
      </w:pPr>
      <w:r>
        <w:rPr>
          <w:b w:val="0"/>
          <w:i w:val="0"/>
          <w:sz w:val="26"/>
        </w:rPr>
        <w:t>– Báo cáo định kỳ; Báo cáo rà soát sau can thiệp.</w:t>
      </w:r>
    </w:p>
    <w:p>
      <w:pPr>
        <w:spacing w:after="120"/>
        <w:jc w:val="left"/>
      </w:pPr>
      <w:r>
        <w:rPr>
          <w:b/>
          <w:i w:val="0"/>
          <w:sz w:val="26"/>
        </w:rPr>
        <w:t>5. LƯU Ý BẢO MẬT HỒ SƠ</w:t>
      </w:r>
    </w:p>
    <w:p>
      <w:pPr>
        <w:spacing w:after="120"/>
        <w:jc w:val="left"/>
      </w:pPr>
      <w:r>
        <w:rPr>
          <w:b w:val="0"/>
          <w:i w:val="0"/>
          <w:sz w:val="26"/>
        </w:rPr>
        <w:t>Hồ sơ ca được lưu trữ an toàn, phân quyền truy cập; tên và thông tin nhận dạng học sinh phải được bảo vệ khi báo cáo hoặc chia sẻ phục vụ chuyên môn.</w:t>
      </w:r>
    </w:p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jc w:val="center"/>
      </w:pPr>
      <w:r>
        <w:rPr>
          <w:i/>
          <w:color w:val="808080"/>
          <w:sz w:val="18"/>
        </w:rPr>
        <w:t>— Mẫu tham khảo do BrainCare biên soạn · tamlyhocduong.vn — Nhà trường điều chỉnh cho phù hợp thực tế —</w:t>
      </w:r>
    </w:p>
    <w:sectPr w:rsidR="00FC693F" w:rsidRPr="0006063C" w:rsidSect="00034616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