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35"/>
        <w:gridCol w:w="4535"/>
      </w:tblGrid>
      <w:tr>
        <w:tc>
          <w:tcPr>
            <w:tcW w:type="dxa" w:w="4535"/>
          </w:tcPr>
          <w:p>
            <w:pPr>
              <w:jc w:val="center"/>
            </w:pPr>
            <w:r>
              <w:rPr>
                <w:sz w:val="24"/>
              </w:rPr>
              <w:t>SỞ GD&amp;ĐT …………………</w:t>
              <w:br/>
            </w:r>
            <w:r>
              <w:rPr>
                <w:b/>
                <w:sz w:val="24"/>
              </w:rPr>
              <w:t>TRƯỜNG …………………………</w:t>
            </w:r>
          </w:p>
        </w:tc>
        <w:tc>
          <w:tcPr>
            <w:tcW w:type="dxa" w:w="4535"/>
          </w:tcPr>
          <w:p>
            <w:pPr>
              <w:jc w:val="center"/>
            </w:pPr>
            <w:r>
              <w:rPr>
                <w:b/>
                <w:sz w:val="24"/>
              </w:rPr>
              <w:t>CỘNG HÒA XÃ HỘI CHỦ NGHĨA VIỆT NAM</w:t>
              <w:br/>
            </w:r>
            <w:r>
              <w:rPr>
                <w:b/>
                <w:sz w:val="26"/>
              </w:rPr>
              <w:t>Độc lập - Tự do - Hạnh phúc</w:t>
            </w:r>
          </w:p>
        </w:tc>
      </w:tr>
    </w:tbl>
    <w:p>
      <w:pPr>
        <w:spacing w:after="40"/>
        <w:jc w:val="left"/>
      </w:pPr>
      <w:r>
        <w:rPr>
          <w:b w:val="0"/>
          <w:i w:val="0"/>
          <w:sz w:val="26"/>
        </w:rPr>
      </w:r>
    </w:p>
    <w:p>
      <w:pPr>
        <w:spacing w:after="120"/>
        <w:jc w:val="right"/>
      </w:pPr>
      <w:r>
        <w:rPr>
          <w:b w:val="0"/>
          <w:i/>
          <w:sz w:val="26"/>
        </w:rPr>
        <w:t>…………, ngày …… tháng …… năm 20……</w:t>
      </w:r>
    </w:p>
    <w:p>
      <w:pPr>
        <w:spacing w:after="40"/>
        <w:jc w:val="center"/>
      </w:pPr>
      <w:r>
        <w:rPr>
          <w:b/>
          <w:i w:val="0"/>
          <w:color w:val="1D6495"/>
          <w:sz w:val="30"/>
        </w:rPr>
        <w:t>QUY CHẾ</w:t>
      </w:r>
    </w:p>
    <w:p>
      <w:pPr>
        <w:spacing w:after="120"/>
        <w:jc w:val="center"/>
      </w:pPr>
      <w:r>
        <w:rPr>
          <w:b/>
          <w:i w:val="0"/>
          <w:sz w:val="26"/>
        </w:rPr>
        <w:t>Tổ chức và hoạt động của Phòng Tư vấn, hỗ trợ học sinh</w:t>
      </w:r>
    </w:p>
    <w:p>
      <w:pPr>
        <w:spacing w:after="120"/>
        <w:jc w:val="left"/>
      </w:pPr>
      <w:r>
        <w:rPr>
          <w:b/>
          <w:i w:val="0"/>
          <w:sz w:val="26"/>
        </w:rPr>
        <w:t>CHƯƠNG I. QUY ĐỊNH CHUNG</w:t>
      </w:r>
    </w:p>
    <w:p>
      <w:pPr>
        <w:spacing w:after="60"/>
        <w:jc w:val="left"/>
      </w:pPr>
      <w:r>
        <w:rPr>
          <w:b w:val="0"/>
          <w:i w:val="0"/>
          <w:sz w:val="26"/>
        </w:rPr>
        <w:t>Điều 1. Quy chế này quy định về tổ chức, hoạt động, nguyên tắc và trách nhiệm trong công tác tư vấn, hỗ trợ học sinh tại Trường ……………………</w:t>
      </w:r>
    </w:p>
    <w:p>
      <w:pPr>
        <w:spacing w:after="60"/>
        <w:jc w:val="left"/>
      </w:pPr>
      <w:r>
        <w:rPr>
          <w:b w:val="0"/>
          <w:i w:val="0"/>
          <w:sz w:val="26"/>
        </w:rPr>
        <w:t>Điều 2. Phòng tư vấn là bộ phận hỗ trợ học sinh về tâm lý, học tập, hướng nghiệp và các vấn đề trong cuộc sống học đường.</w:t>
      </w:r>
    </w:p>
    <w:p>
      <w:pPr>
        <w:spacing w:after="120"/>
        <w:jc w:val="left"/>
      </w:pPr>
      <w:r>
        <w:rPr>
          <w:b/>
          <w:i w:val="0"/>
          <w:sz w:val="26"/>
        </w:rPr>
        <w:t>CHƯƠNG II. CHỨC NĂNG, NHIỆM VỤ</w:t>
      </w:r>
    </w:p>
    <w:p>
      <w:pPr>
        <w:spacing w:after="60"/>
        <w:jc w:val="left"/>
      </w:pPr>
      <w:r>
        <w:rPr>
          <w:b w:val="0"/>
          <w:i w:val="0"/>
          <w:sz w:val="26"/>
        </w:rPr>
        <w:t>Điều 3. Tư vấn, hỗ trợ tâm lý; phòng ngừa và can thiệp sớm; phối hợp gia đình và các lực lượng giáo dục.</w:t>
      </w:r>
    </w:p>
    <w:p>
      <w:pPr>
        <w:spacing w:after="60"/>
        <w:jc w:val="left"/>
      </w:pPr>
      <w:r>
        <w:rPr>
          <w:b w:val="0"/>
          <w:i w:val="0"/>
          <w:sz w:val="26"/>
        </w:rPr>
        <w:t>Điều 4. Tiếp nhận, sàng lọc, lập hồ sơ, theo dõi ca và chuyển tuyến khi vượt quá năng lực của nhà trường.</w:t>
      </w:r>
    </w:p>
    <w:p>
      <w:pPr>
        <w:spacing w:after="120"/>
        <w:jc w:val="left"/>
      </w:pPr>
      <w:r>
        <w:rPr>
          <w:b/>
          <w:i w:val="0"/>
          <w:sz w:val="26"/>
        </w:rPr>
        <w:t>CHƯƠNG III. NGUYÊN TẮC HOẠT ĐỘNG</w:t>
      </w:r>
    </w:p>
    <w:p>
      <w:pPr>
        <w:spacing w:after="60"/>
        <w:jc w:val="left"/>
      </w:pPr>
      <w:r>
        <w:rPr>
          <w:b w:val="0"/>
          <w:i w:val="0"/>
          <w:sz w:val="26"/>
        </w:rPr>
        <w:t>Điều 5. Tôn trọng, tự nguyện, không phán xét.</w:t>
      </w:r>
    </w:p>
    <w:p>
      <w:pPr>
        <w:spacing w:after="60"/>
        <w:jc w:val="left"/>
      </w:pPr>
      <w:r>
        <w:rPr>
          <w:b w:val="0"/>
          <w:i w:val="0"/>
          <w:sz w:val="26"/>
        </w:rPr>
        <w:t>Điều 6. Bảo mật thông tin học sinh; chỉ chia sẻ khi có sự đồng thuận hoặc theo quy định pháp luật.</w:t>
      </w:r>
    </w:p>
    <w:p>
      <w:pPr>
        <w:spacing w:after="60"/>
        <w:jc w:val="left"/>
      </w:pPr>
      <w:r>
        <w:rPr>
          <w:b w:val="0"/>
          <w:i w:val="0"/>
          <w:sz w:val="26"/>
        </w:rPr>
        <w:t>Điều 7. Bảo đảm an toàn và vì lợi ích tốt nhất của học sinh.</w:t>
      </w:r>
    </w:p>
    <w:p>
      <w:pPr>
        <w:spacing w:after="120"/>
        <w:jc w:val="left"/>
      </w:pPr>
      <w:r>
        <w:rPr>
          <w:b/>
          <w:i w:val="0"/>
          <w:sz w:val="26"/>
        </w:rPr>
        <w:t>CHƯƠNG IV. TỔ CHỨC THỰC HIỆN</w:t>
      </w:r>
    </w:p>
    <w:p>
      <w:pPr>
        <w:spacing w:after="60"/>
        <w:jc w:val="left"/>
      </w:pPr>
      <w:r>
        <w:rPr>
          <w:b w:val="0"/>
          <w:i w:val="0"/>
          <w:sz w:val="26"/>
        </w:rPr>
        <w:t>Điều 8. Tổ tư vấn phân công trực, lưu trữ hồ sơ và báo cáo định kỳ.</w:t>
      </w:r>
    </w:p>
    <w:p>
      <w:pPr>
        <w:spacing w:after="60"/>
        <w:jc w:val="left"/>
      </w:pPr>
      <w:r>
        <w:rPr>
          <w:b w:val="0"/>
          <w:i w:val="0"/>
          <w:sz w:val="26"/>
        </w:rPr>
        <w:t>Điều 9. Giáo viên, nhân viên và cha mẹ học sinh phối hợp thực hiện.</w:t>
      </w:r>
    </w:p>
    <w:p>
      <w:pPr>
        <w:spacing w:after="120"/>
        <w:jc w:val="left"/>
      </w:pPr>
      <w:r>
        <w:rPr>
          <w:b/>
          <w:i w:val="0"/>
          <w:sz w:val="26"/>
        </w:rPr>
        <w:t>CHƯƠNG V. ĐIỀU KHOẢN THI HÀNH</w:t>
      </w:r>
    </w:p>
    <w:p>
      <w:pPr>
        <w:spacing w:after="60"/>
        <w:jc w:val="left"/>
      </w:pPr>
      <w:r>
        <w:rPr>
          <w:b w:val="0"/>
          <w:i w:val="0"/>
          <w:sz w:val="26"/>
        </w:rPr>
        <w:t>Điều 10. Quy chế có hiệu lực kể từ ngày ký; việc sửa đổi, bổ sung do Hiệu trưởng quyết định.</w:t>
      </w:r>
    </w:p>
    <w:p>
      <w:pPr>
        <w:spacing w:after="40"/>
        <w:jc w:val="left"/>
      </w:pPr>
      <w:r>
        <w:rPr>
          <w:b w:val="0"/>
          <w:i w:val="0"/>
          <w:sz w:val="26"/>
        </w:rPr>
      </w: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35"/>
        <w:gridCol w:w="4535"/>
      </w:tblGrid>
      <w:tr>
        <w:tc>
          <w:tcPr>
            <w:tcW w:type="dxa" w:w="4535"/>
          </w:tcPr>
          <w:p>
            <w:pPr>
              <w:jc w:val="center"/>
            </w:pPr>
            <w:r>
              <w:rPr>
                <w:b/>
              </w:rPr>
              <w:t>NGƯỜI SOẠN</w:t>
            </w:r>
          </w:p>
          <w:p>
            <w:r>
              <w:rPr>
                <w:i/>
              </w:rPr>
              <w:t>(Ký, ghi rõ họ tên)</w:t>
            </w:r>
          </w:p>
        </w:tc>
        <w:tc>
          <w:tcPr>
            <w:tcW w:type="dxa" w:w="4535"/>
          </w:tcPr>
          <w:p>
            <w:pPr>
              <w:jc w:val="center"/>
            </w:pPr>
            <w:r>
              <w:rPr>
                <w:b/>
              </w:rPr>
              <w:t>HIỆU TRƯỞNG</w:t>
            </w:r>
          </w:p>
          <w:p>
            <w:r>
              <w:rPr>
                <w:i/>
              </w:rPr>
              <w:t>(Ký, ghi rõ họ tên)</w:t>
            </w:r>
          </w:p>
        </w:tc>
      </w:tr>
    </w:tbl>
    <w:p>
      <w:pPr>
        <w:spacing w:after="40"/>
        <w:jc w:val="left"/>
      </w:pPr>
      <w:r>
        <w:rPr>
          <w:b w:val="0"/>
          <w:i w:val="0"/>
          <w:sz w:val="26"/>
        </w:rPr>
      </w:r>
    </w:p>
    <w:p>
      <w:pPr>
        <w:jc w:val="center"/>
      </w:pPr>
      <w:r>
        <w:rPr>
          <w:i/>
          <w:color w:val="808080"/>
          <w:sz w:val="18"/>
        </w:rPr>
        <w:t>— Mẫu tham khảo do BrainCare biên soạn · tamlyhocduong.vn — Nhà trường điều chỉnh cho phù hợp thực tế —</w:t>
      </w:r>
    </w:p>
    <w:sectPr w:rsidR="00FC693F" w:rsidRPr="0006063C" w:rsidSect="00034616">
      <w:pgSz w:w="11906" w:h="16838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